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          </w:t>
      </w:r>
      <w:r>
        <w:rPr>
          <w:rFonts w:cs="Times New Roman" w:ascii="Times New Roman" w:hAnsi="Times New Roman"/>
          <w:b/>
          <w:sz w:val="26"/>
          <w:szCs w:val="26"/>
        </w:rPr>
        <w:t xml:space="preserve">OBEC </w:t>
      </w:r>
      <w:r>
        <w:rPr>
          <w:rFonts w:cs="Times New Roman" w:ascii="Times New Roman" w:hAnsi="Times New Roman"/>
          <w:b/>
          <w:sz w:val="26"/>
          <w:szCs w:val="26"/>
        </w:rPr>
        <w:t>VŠEHRDY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Výroční zpráva o poskytování informací za rok </w:t>
      </w:r>
      <w:r>
        <w:rPr>
          <w:rFonts w:cs="Times New Roman" w:ascii="Times New Roman" w:hAnsi="Times New Roman"/>
          <w:b/>
          <w:color w:val="FF0000"/>
          <w:sz w:val="28"/>
          <w:szCs w:val="28"/>
        </w:rPr>
        <w:t xml:space="preserve">2019 </w:t>
      </w:r>
      <w:r>
        <w:rPr>
          <w:rFonts w:cs="Times New Roman" w:ascii="Times New Roman" w:hAnsi="Times New Roman"/>
          <w:b/>
          <w:sz w:val="28"/>
          <w:szCs w:val="28"/>
        </w:rPr>
        <w:t>dle zákona č.106/1999 Sb., o svobodném přístupu k informacím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Zákon č. 106/1999 Sb., o svobodném přístupu k informacím (§18 odst.1)  ukládá povinným subjektům zveřejnit do 1.března údaje o své činnosti v oblasti poskytování informací za předcházející kalendářní rok.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>Zákon č. 106/1999 Sb., §18 odst.1:</w:t>
      </w:r>
    </w:p>
    <w:p>
      <w:pPr>
        <w:pStyle w:val="ListParagraph"/>
        <w:numPr>
          <w:ilvl w:val="0"/>
          <w:numId w:val="1"/>
        </w:numPr>
        <w:spacing w:lineRule="auto" w:line="360" w:before="120" w:after="200"/>
        <w:rPr/>
      </w:pPr>
      <w:r>
        <w:rPr>
          <w:rFonts w:cs="Times New Roman" w:ascii="Times New Roman" w:hAnsi="Times New Roman"/>
          <w:b/>
          <w:sz w:val="24"/>
          <w:szCs w:val="24"/>
        </w:rPr>
        <w:t>Počet podaných žádostí o informace:                                                               1</w:t>
      </w:r>
    </w:p>
    <w:p>
      <w:pPr>
        <w:pStyle w:val="ListParagraph"/>
        <w:numPr>
          <w:ilvl w:val="0"/>
          <w:numId w:val="1"/>
        </w:numPr>
        <w:spacing w:lineRule="auto" w:line="360" w:before="120" w:after="240"/>
        <w:rPr/>
      </w:pPr>
      <w:r>
        <w:rPr>
          <w:rFonts w:cs="Times New Roman" w:ascii="Times New Roman" w:hAnsi="Times New Roman"/>
          <w:b/>
          <w:sz w:val="24"/>
          <w:szCs w:val="24"/>
        </w:rPr>
        <w:t>Počet podaných odvolání proti rozhodnutí                                                      0</w:t>
      </w:r>
    </w:p>
    <w:p>
      <w:pPr>
        <w:pStyle w:val="ListParagraph"/>
        <w:numPr>
          <w:ilvl w:val="0"/>
          <w:numId w:val="1"/>
        </w:numPr>
        <w:spacing w:lineRule="auto" w:line="360"/>
        <w:rPr/>
      </w:pPr>
      <w:r>
        <w:rPr>
          <w:rFonts w:cs="Times New Roman" w:ascii="Times New Roman" w:hAnsi="Times New Roman"/>
          <w:b/>
          <w:sz w:val="24"/>
          <w:szCs w:val="24"/>
        </w:rPr>
        <w:t>Opis podstatných částí každého rozsudku soudu:                                           0</w:t>
      </w:r>
    </w:p>
    <w:p>
      <w:pPr>
        <w:pStyle w:val="ListParagraph"/>
        <w:spacing w:lineRule="auto" w:line="360"/>
        <w:ind w:left="1440" w:hanging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ListParagraph"/>
        <w:numPr>
          <w:ilvl w:val="0"/>
          <w:numId w:val="1"/>
        </w:numPr>
        <w:spacing w:lineRule="auto" w:line="360"/>
        <w:rPr/>
      </w:pPr>
      <w:r>
        <w:rPr>
          <w:rFonts w:cs="Times New Roman" w:ascii="Times New Roman" w:hAnsi="Times New Roman"/>
          <w:b/>
          <w:sz w:val="24"/>
          <w:szCs w:val="24"/>
        </w:rPr>
        <w:t>Výčet poskytnutých výhradních licencí, včetně odůvodnění nezbytností poskytnutí výhradní licence:                                                                               0</w:t>
      </w:r>
    </w:p>
    <w:p>
      <w:pPr>
        <w:pStyle w:val="ListParagraph"/>
        <w:spacing w:lineRule="auto" w:line="360"/>
        <w:ind w:left="1440" w:hanging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ListParagraph"/>
        <w:numPr>
          <w:ilvl w:val="0"/>
          <w:numId w:val="1"/>
        </w:numPr>
        <w:spacing w:lineRule="auto" w:line="360"/>
        <w:rPr/>
      </w:pPr>
      <w:r>
        <w:rPr>
          <w:rFonts w:cs="Times New Roman" w:ascii="Times New Roman" w:hAnsi="Times New Roman"/>
          <w:b/>
          <w:sz w:val="24"/>
          <w:szCs w:val="24"/>
        </w:rPr>
        <w:t>Počet stížností podaných podle §16a, důvody jejich podání a stručný popis způsobu jejich vyřízení:                                                                                       0</w:t>
      </w:r>
    </w:p>
    <w:p>
      <w:pPr>
        <w:pStyle w:val="ListParagraph"/>
        <w:spacing w:lineRule="auto" w:line="360"/>
        <w:ind w:left="1440" w:hanging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  <w:t xml:space="preserve">      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Další informace vztahující se k uplatňování zákona č. 106/1999 Sb.:</w:t>
      </w:r>
    </w:p>
    <w:p>
      <w:pPr>
        <w:pStyle w:val="ListParagraph"/>
        <w:spacing w:lineRule="auto" w:line="360"/>
        <w:rPr/>
      </w:pPr>
      <w:r>
        <w:rPr>
          <w:rFonts w:cs="Times New Roman" w:ascii="Times New Roman" w:hAnsi="Times New Roman"/>
          <w:sz w:val="24"/>
          <w:szCs w:val="24"/>
        </w:rPr>
        <w:t>Informace byly žadatelům poskytovány v termínech stanovených zákonem (§14 odst.5  písm.d)  a §20 odst. 3 zákona 106/1999 Sb.)</w:t>
      </w:r>
    </w:p>
    <w:p>
      <w:pPr>
        <w:pStyle w:val="ListParagraph"/>
        <w:spacing w:lineRule="auto" w:line="360"/>
        <w:ind w:left="720" w:hanging="0"/>
        <w:rPr/>
      </w:pPr>
      <w:r>
        <w:rPr>
          <w:rFonts w:cs="Times New Roman" w:ascii="Times New Roman" w:hAnsi="Times New Roman"/>
          <w:sz w:val="24"/>
          <w:szCs w:val="24"/>
        </w:rPr>
        <w:t xml:space="preserve">Žádosti jsou vyřizovány dle směrnice Obecního úřadu </w:t>
      </w:r>
      <w:r>
        <w:rPr>
          <w:rFonts w:cs="Times New Roman" w:ascii="Times New Roman" w:hAnsi="Times New Roman"/>
          <w:sz w:val="24"/>
          <w:szCs w:val="24"/>
        </w:rPr>
        <w:t>v</w:t>
      </w:r>
      <w:r>
        <w:rPr>
          <w:rFonts w:cs="Times New Roman" w:ascii="Times New Roman" w:hAnsi="Times New Roman"/>
          <w:sz w:val="24"/>
          <w:szCs w:val="24"/>
        </w:rPr>
        <w:t>e</w:t>
      </w:r>
      <w:r>
        <w:rPr>
          <w:rFonts w:cs="Times New Roman" w:ascii="Times New Roman" w:hAnsi="Times New Roman"/>
          <w:sz w:val="24"/>
          <w:szCs w:val="24"/>
        </w:rPr>
        <w:t xml:space="preserve"> Všehrdech</w:t>
      </w:r>
      <w:r>
        <w:rPr>
          <w:rFonts w:cs="Times New Roman" w:ascii="Times New Roman" w:hAnsi="Times New Roman"/>
          <w:sz w:val="24"/>
          <w:szCs w:val="24"/>
        </w:rPr>
        <w:t xml:space="preserve"> „Směrnice vymezující kompetence při poskytování informací“. Průběžně jsou poskytovány informace na základě ústně podaných žádostí.</w:t>
      </w:r>
    </w:p>
    <w:p>
      <w:pPr>
        <w:pStyle w:val="ListParagraph"/>
        <w:rPr/>
      </w:pPr>
      <w:r>
        <w:rPr>
          <w:rFonts w:cs="Times New Roman" w:ascii="Times New Roman" w:hAnsi="Times New Roman"/>
          <w:sz w:val="24"/>
          <w:szCs w:val="24"/>
        </w:rPr>
        <w:t xml:space="preserve">Písemné požadavky občanů jsou v souladu se zákonem evidovány na podatelně Obecního úřadu </w:t>
      </w:r>
      <w:r>
        <w:rPr>
          <w:rFonts w:cs="Times New Roman" w:ascii="Times New Roman" w:hAnsi="Times New Roman"/>
          <w:color w:val="000000"/>
          <w:sz w:val="24"/>
          <w:szCs w:val="24"/>
        </w:rPr>
        <w:t>v</w:t>
      </w:r>
      <w:r>
        <w:rPr>
          <w:rFonts w:cs="Times New Roman" w:ascii="Times New Roman" w:hAnsi="Times New Roman"/>
          <w:color w:val="000000"/>
          <w:sz w:val="24"/>
          <w:szCs w:val="24"/>
        </w:rPr>
        <w:t>e Všehrdech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ListParagraph"/>
        <w:spacing w:lineRule="auto" w:line="360"/>
        <w:ind w:left="720" w:hanging="0"/>
        <w:rPr/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 xml:space="preserve">Za poskytování informací bylo v roce 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2019 </w:t>
      </w:r>
      <w:r>
        <w:rPr>
          <w:rFonts w:cs="Times New Roman" w:ascii="Times New Roman" w:hAnsi="Times New Roman"/>
          <w:sz w:val="24"/>
          <w:szCs w:val="24"/>
        </w:rPr>
        <w:t xml:space="preserve">vybráno celkem 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0,- </w:t>
      </w:r>
      <w:r>
        <w:rPr>
          <w:rFonts w:cs="Times New Roman" w:ascii="Times New Roman" w:hAnsi="Times New Roman"/>
          <w:sz w:val="24"/>
          <w:szCs w:val="24"/>
        </w:rPr>
        <w:t>Kč</w:t>
      </w:r>
    </w:p>
    <w:p>
      <w:pPr>
        <w:pStyle w:val="ListParagraph"/>
        <w:spacing w:lineRule="auto" w:line="360"/>
        <w:ind w:left="720" w:hanging="0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 xml:space="preserve">Zpracovala: </w:t>
      </w:r>
      <w:r>
        <w:rPr>
          <w:rFonts w:cs="Times New Roman" w:ascii="Times New Roman" w:hAnsi="Times New Roman"/>
          <w:color w:val="000000"/>
          <w:sz w:val="24"/>
          <w:szCs w:val="24"/>
        </w:rPr>
        <w:t>Kamila Hyklová, 31.1.2020</w:t>
      </w:r>
    </w:p>
    <w:p>
      <w:pPr>
        <w:pStyle w:val="ListParagraph"/>
        <w:spacing w:lineRule="auto" w:line="360"/>
        <w:ind w:left="720" w:hanging="0"/>
        <w:rPr/>
      </w:pPr>
      <w:r>
        <w:rPr>
          <w:rFonts w:cs="Times New Roman" w:ascii="Times New Roman" w:hAnsi="Times New Roman"/>
          <w:sz w:val="24"/>
          <w:szCs w:val="24"/>
        </w:rPr>
        <w:t xml:space="preserve">Tato výroční zpráva o poskytování informací za rok </w:t>
      </w:r>
      <w:r>
        <w:rPr>
          <w:rFonts w:cs="Times New Roman" w:ascii="Times New Roman" w:hAnsi="Times New Roman"/>
          <w:color w:val="FF0000"/>
          <w:sz w:val="24"/>
          <w:szCs w:val="24"/>
        </w:rPr>
        <w:t>2019</w:t>
      </w:r>
      <w:r>
        <w:rPr>
          <w:rFonts w:cs="Times New Roman" w:ascii="Times New Roman" w:hAnsi="Times New Roman"/>
          <w:sz w:val="24"/>
          <w:szCs w:val="24"/>
        </w:rPr>
        <w:t xml:space="preserve"> dle zákona č. 106/1999 Sb., o svobodném přístupu k informacím byla projednána </w:t>
      </w:r>
      <w:r>
        <w:rPr>
          <w:rFonts w:cs="Times New Roman" w:ascii="Times New Roman" w:hAnsi="Times New Roman"/>
          <w:color w:val="000000"/>
          <w:sz w:val="24"/>
          <w:szCs w:val="24"/>
        </w:rPr>
        <w:t>zastupitelstvem</w:t>
      </w:r>
      <w:r>
        <w:rPr>
          <w:rFonts w:cs="Times New Roman" w:ascii="Times New Roman" w:hAnsi="Times New Roman"/>
          <w:sz w:val="24"/>
          <w:szCs w:val="24"/>
        </w:rPr>
        <w:t xml:space="preserve"> obce dne: </w:t>
      </w:r>
      <w:r>
        <w:rPr>
          <w:rFonts w:cs="Times New Roman" w:ascii="Times New Roman" w:hAnsi="Times New Roman"/>
          <w:sz w:val="24"/>
          <w:szCs w:val="24"/>
        </w:rPr>
        <w:t>6.5.2020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w="11906" w:h="16838"/>
      <w:pgMar w:left="1417" w:right="1417" w:header="0" w:top="1276" w:footer="0" w:bottom="170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4"/>
        <w:rFonts w:cs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eb2a8e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ascii="Times New Roman" w:hAnsi="Times New Roman" w:cs="Symbol"/>
      <w:sz w:val="24"/>
    </w:rPr>
  </w:style>
  <w:style w:type="character" w:styleId="ListLabel2">
    <w:name w:val="ListLabel 2"/>
    <w:qFormat/>
    <w:rPr>
      <w:rFonts w:cs="Symbol"/>
      <w:sz w:val="24"/>
    </w:rPr>
  </w:style>
  <w:style w:type="character" w:styleId="ListLabel3">
    <w:name w:val="ListLabel 3"/>
    <w:qFormat/>
    <w:rPr>
      <w:rFonts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  <w:sz w:val="24"/>
    </w:rPr>
  </w:style>
  <w:style w:type="character" w:styleId="ListLabel6">
    <w:name w:val="ListLabel 6"/>
    <w:qFormat/>
    <w:rPr>
      <w:rFonts w:cs="Symbol"/>
      <w:sz w:val="24"/>
    </w:rPr>
  </w:style>
  <w:style w:type="character" w:styleId="ListLabel7">
    <w:name w:val="ListLabel 7"/>
    <w:qFormat/>
    <w:rPr>
      <w:rFonts w:cs="Symbol"/>
      <w:sz w:val="24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Arial"/>
    </w:rPr>
  </w:style>
  <w:style w:type="paragraph" w:styleId="Popisek">
    <w:name w:val="Popisek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eb2a8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2a8e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DF629-F44D-524E-B91B-B34A7B3A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LibreOffice/5.0.6.3$Windows_x86 LibreOffice_project/490fc03b25318460cfc54456516ea2519c11d1aa</Application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2017-10-27T12:09:00Z</dcterms:created>
  <dc:creator>Obec Krupa</dc:creator>
  <dc:language>cs-CZ</dc:language>
  <cp:lastPrinted>2019-03-10T14:19:14Z</cp:lastPrinted>
  <dcterms:modified xsi:type="dcterms:W3CDTF">2020-05-04T11:37:12Z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